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FCE" w:rsidRDefault="0096243A">
      <w:pPr>
        <w:rPr>
          <w:rFonts w:ascii="Arial" w:eastAsia="Arial" w:hAnsi="Arial" w:cs="Arial"/>
          <w:b/>
          <w:sz w:val="36"/>
          <w:szCs w:val="36"/>
        </w:rPr>
      </w:pPr>
      <w:bookmarkStart w:id="0" w:name="_gjdgxs" w:colFirst="0" w:colLast="0"/>
      <w:bookmarkEnd w:id="0"/>
      <w:r>
        <w:rPr>
          <w:rFonts w:ascii="Arial" w:eastAsia="Arial" w:hAnsi="Arial" w:cs="Arial"/>
          <w:b/>
          <w:sz w:val="36"/>
          <w:szCs w:val="36"/>
        </w:rPr>
        <w:t>Joint Schedule 1 (Definitions)</w:t>
      </w:r>
    </w:p>
    <w:p w:rsidR="002C2FCE" w:rsidRDefault="0096243A">
      <w:pPr>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sz w:val="24"/>
          <w:szCs w:val="24"/>
        </w:rPr>
        <w:t xml:space="preserve">In </w:t>
      </w:r>
      <w:bookmarkStart w:id="1" w:name="30j0zll" w:colFirst="0" w:colLast="0"/>
      <w:bookmarkEnd w:id="1"/>
      <w:r>
        <w:rPr>
          <w:rFonts w:ascii="Arial" w:eastAsia="Arial" w:hAnsi="Arial" w:cs="Arial"/>
          <w:color w:val="000000"/>
          <w:sz w:val="24"/>
          <w:szCs w:val="24"/>
        </w:rPr>
        <w:t xml:space="preserve">each Contract, unless the context otherwise requires, capitalised </w:t>
      </w:r>
      <w:bookmarkStart w:id="2" w:name="_GoBack"/>
      <w:bookmarkEnd w:id="2"/>
      <w:r>
        <w:rPr>
          <w:rFonts w:ascii="Arial" w:eastAsia="Arial" w:hAnsi="Arial" w:cs="Arial"/>
          <w:color w:val="000000"/>
          <w:sz w:val="24"/>
          <w:szCs w:val="24"/>
        </w:rPr>
        <w:t>expressions shall have the meanings set out in this Joint Schedule 1 (Definitions) or the relevant Schedule in which that capitalised expression appears.</w:t>
      </w:r>
    </w:p>
    <w:p w:rsidR="002C2FCE" w:rsidRDefault="0096243A">
      <w:pPr>
        <w:numPr>
          <w:ilvl w:val="1"/>
          <w:numId w:val="1"/>
        </w:numPr>
        <w:pBdr>
          <w:top w:val="nil"/>
          <w:left w:val="nil"/>
          <w:bottom w:val="nil"/>
          <w:right w:val="nil"/>
          <w:between w:val="nil"/>
        </w:pBdr>
        <w:tabs>
          <w:tab w:val="left" w:pos="1134"/>
        </w:tabs>
        <w:spacing w:before="120" w:after="120" w:line="240" w:lineRule="auto"/>
        <w:jc w:val="both"/>
      </w:pPr>
      <w:bookmarkStart w:id="3" w:name="_1fob9te"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2C2FCE" w:rsidRDefault="0096243A">
      <w:pPr>
        <w:keepNext/>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sz w:val="24"/>
          <w:szCs w:val="24"/>
        </w:rPr>
        <w:t>In each Contract, unless the context otherwise requires:</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the singular includes the plural and vice versa;</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 to a gender includes the other gender and the neuter;</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references to a series of Clauses or Paragraphs shall be inclusive of the clause numbers specified;</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the headings in each Contract are for ease of reference only and shall not affect the interpretation or construction of a Contract; and</w:t>
      </w:r>
    </w:p>
    <w:p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where the Buyer is a Crown Body it shall be treated as contracting with the Crown as a whole.</w:t>
      </w:r>
    </w:p>
    <w:p w:rsidR="002C2FCE" w:rsidRDefault="0096243A">
      <w:pPr>
        <w:keepNext/>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sz w:val="24"/>
          <w:szCs w:val="24"/>
        </w:rPr>
        <w:lastRenderedPageBreak/>
        <w:t>In each Contract, unless the context otherwise requires, the following words shall have the following meanings:</w:t>
      </w:r>
    </w:p>
    <w:p w:rsidR="002C2FCE" w:rsidRDefault="002C2FCE">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bookmarkStart w:id="4" w:name="_3znysh7" w:colFirst="0" w:colLast="0"/>
            <w:bookmarkEnd w:id="4"/>
            <w:r>
              <w:rPr>
                <w:rFonts w:ascii="Arial" w:eastAsia="Arial" w:hAnsi="Arial" w:cs="Arial"/>
                <w:b/>
                <w:color w:val="000000"/>
                <w:sz w:val="24"/>
                <w:szCs w:val="24"/>
              </w:rPr>
              <w:t>"Achieve"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"Admin Fee”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party seeking to claim relief in respect of a Force Majeure Event;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"Affiliates"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“Annex”</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extra information which supports a Schedule;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"Approval"</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"Audit"</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Relevant Authority’s right to: </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Open Book Data;</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Supplier’s and each Subcontractor’s compliance with the applicable Law;</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 xml:space="preserve">obtain such information as is necessary to fulfil the Relevant Authority’s obligations to supply information for parliamentary, </w:t>
            </w:r>
            <w:r>
              <w:rPr>
                <w:rFonts w:ascii="Arial" w:eastAsia="Arial" w:hAnsi="Arial" w:cs="Arial"/>
                <w:color w:val="000000"/>
                <w:sz w:val="24"/>
                <w:szCs w:val="24"/>
              </w:rPr>
              <w:lastRenderedPageBreak/>
              <w:t>ministerial, judicial or administrative purposes including the supply of information to the Comptroller and Auditor General;</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review any books of account and the internal contract management accounts kept by the Supplier in connection with each Contract;</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accuracy and completeness of any Management Information delivered or required by the Framework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566" w:type="dxa"/>
          </w:tcPr>
          <w:p w:rsidR="002C2FCE" w:rsidRDefault="0096243A">
            <w:pPr>
              <w:numPr>
                <w:ilvl w:val="0"/>
                <w:numId w:val="2"/>
              </w:numPr>
              <w:pBdr>
                <w:top w:val="nil"/>
                <w:left w:val="nil"/>
                <w:bottom w:val="nil"/>
                <w:right w:val="nil"/>
                <w:between w:val="nil"/>
              </w:pBdr>
              <w:tabs>
                <w:tab w:val="left" w:pos="-9"/>
              </w:tabs>
              <w:spacing w:after="120"/>
              <w:ind w:left="501" w:hanging="331"/>
              <w:jc w:val="both"/>
              <w:rPr>
                <w:rFonts w:ascii="Arial" w:eastAsia="Arial" w:hAnsi="Arial" w:cs="Arial"/>
                <w:color w:val="000000"/>
              </w:rPr>
            </w:pPr>
            <w:r>
              <w:rPr>
                <w:rFonts w:ascii="Arial" w:eastAsia="Arial" w:hAnsi="Arial" w:cs="Arial"/>
                <w:color w:val="000000"/>
                <w:sz w:val="24"/>
                <w:szCs w:val="24"/>
              </w:rPr>
              <w:t>the Buyer’s internal and external auditors;</w:t>
            </w:r>
          </w:p>
          <w:p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the Buyer’s statutory or regulatory auditors;</w:t>
            </w:r>
          </w:p>
          <w:p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the Comptroller and Auditor General, their staff and/or any appointed representatives of the National Audit Office;</w:t>
            </w:r>
          </w:p>
          <w:p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HM Treasury or the Cabinet Office;</w:t>
            </w:r>
          </w:p>
          <w:p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any party formally appointed by the Buyer to carry out audit or similar review functions; and</w:t>
            </w:r>
          </w:p>
          <w:p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successors or assigns of any of the above;</w:t>
            </w:r>
          </w:p>
        </w:tc>
      </w:tr>
      <w:tr w:rsidR="002C2FCE">
        <w:trPr>
          <w:trHeight w:val="600"/>
        </w:trPr>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"Authority"</w:t>
            </w:r>
          </w:p>
        </w:tc>
        <w:tc>
          <w:tcPr>
            <w:tcW w:w="7566" w:type="dxa"/>
          </w:tcPr>
          <w:p w:rsidR="002C2FCE" w:rsidRDefault="0096243A">
            <w:pPr>
              <w:rPr>
                <w:rFonts w:ascii="Arial" w:eastAsia="Arial" w:hAnsi="Arial" w:cs="Arial"/>
                <w:sz w:val="24"/>
                <w:szCs w:val="24"/>
              </w:rPr>
            </w:pPr>
            <w:r>
              <w:rPr>
                <w:rFonts w:ascii="Arial" w:eastAsia="Arial" w:hAnsi="Arial" w:cs="Arial"/>
                <w:sz w:val="24"/>
                <w:szCs w:val="24"/>
              </w:rPr>
              <w:t xml:space="preserve">   CCS and each Buyer;</w:t>
            </w:r>
          </w:p>
        </w:tc>
      </w:tr>
      <w:tr w:rsidR="002C2FCE">
        <w:tc>
          <w:tcPr>
            <w:tcW w:w="2181" w:type="dxa"/>
          </w:tcPr>
          <w:p w:rsidR="002C2FCE" w:rsidRDefault="0096243A">
            <w:pPr>
              <w:pBdr>
                <w:top w:val="nil"/>
                <w:left w:val="nil"/>
                <w:bottom w:val="nil"/>
                <w:right w:val="nil"/>
                <w:between w:val="nil"/>
              </w:pBdr>
              <w:ind w:left="-108" w:firstLine="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"BACS"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"Beneficiary"</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Party having (or claiming to have) the benefit of an indemnity under this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relevant public sector purchaser identified as such in the Order Form;</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 Period in respect of the Call-Off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the end of a Call-Off Contract as stated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contractual terms applicable to the Call-Off Contract specified under the relevant heading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Initial Period of a Call-Off Contract specified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such period or periods beyond which the Call-Off Initial Period may be extended up to a maximum of the number of years in total specified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process for awarding a Call-Off Contract pursuant to Clause 2 (How the contract works) and Framework Schedule 7 (Call-Off Procedure and Award Criteria);</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start of a Call-Off Contract as stated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"CCS"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Government Department;</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Non-Departmental Public Body or Assembly Sponsored Public Body (advisory, executive, or tribunal);</w:t>
            </w:r>
          </w:p>
          <w:p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Non-Ministerial Department; or</w:t>
            </w:r>
          </w:p>
          <w:p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Executive Agency;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change of control within the meaning of Section 450 of the Corporation Tax Act 2010;</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"Charges"</w:t>
            </w:r>
          </w:p>
        </w:tc>
        <w:tc>
          <w:tcPr>
            <w:tcW w:w="7566" w:type="dxa"/>
          </w:tcPr>
          <w:p w:rsidR="002C2FCE" w:rsidRDefault="0096243A">
            <w:pPr>
              <w:pBdr>
                <w:top w:val="nil"/>
                <w:left w:val="nil"/>
                <w:bottom w:val="nil"/>
                <w:right w:val="nil"/>
                <w:between w:val="nil"/>
              </w:pBdr>
              <w:tabs>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"Claim"</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claim which it appears that a Beneficiary is, or may become, entitled to indemnification under this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supply of Deliverables to another Buyer of the Supplier that are the same or similar to the Deliverables;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person(s) appointed by the Supplier who is responsible for ensuring that the Supplier complies with its legal obligations;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either the Framework Contract or the Call-Off Contract, as the context requires;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"Contracts Finder"</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Government’s publishing portal for public sector procurement opportunities;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term of either a Framework Contract or Call-Off Contract from the earlier of the:</w:t>
            </w:r>
          </w:p>
          <w:p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applicable Start Date; or</w:t>
            </w:r>
          </w:p>
          <w:p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the Effective Date</w:t>
            </w:r>
          </w:p>
          <w:p w:rsidR="002C2FCE" w:rsidRDefault="0096243A">
            <w:pPr>
              <w:pBdr>
                <w:top w:val="nil"/>
                <w:left w:val="nil"/>
                <w:bottom w:val="nil"/>
                <w:right w:val="nil"/>
                <w:between w:val="nil"/>
              </w:pBdr>
              <w:tabs>
                <w:tab w:val="left" w:pos="-576"/>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until the applicable End Date;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consecutive period of twelve (12) Months commencing on the Start Date or each anniversary thereof;</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“Controller”</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“Core Terms”</w:t>
            </w:r>
          </w:p>
        </w:tc>
        <w:tc>
          <w:tcPr>
            <w:tcW w:w="7566" w:type="dxa"/>
          </w:tcPr>
          <w:p w:rsidR="002C2FCE" w:rsidRDefault="0096243A">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"Costs"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cost to the Supplier or the Key Subcontractor (as the context requires), calculated per Man Day, of engaging the Supplier Staff, including:</w:t>
            </w:r>
          </w:p>
          <w:p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base salary paid to the Supplier Staff;</w:t>
            </w:r>
          </w:p>
          <w:p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employer’s National Insurance contributions;</w:t>
            </w:r>
          </w:p>
          <w:p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pension contributions;</w:t>
            </w:r>
          </w:p>
          <w:p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 xml:space="preserve">car allowances; </w:t>
            </w:r>
          </w:p>
          <w:p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any other contractual employment benefits;</w:t>
            </w:r>
          </w:p>
          <w:p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staff training;</w:t>
            </w:r>
          </w:p>
          <w:p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work place accommodation;</w:t>
            </w:r>
          </w:p>
          <w:p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lastRenderedPageBreak/>
              <w:t>work place IT equipment and tools reasonably necessary to provide the Deliverables (but not including items included within limb (b) below); and</w:t>
            </w:r>
          </w:p>
          <w:p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 xml:space="preserve">reasonable recruitment costs, as agreed with the Buyer; </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2C2FCE" w:rsidRDefault="0096243A">
            <w:pPr>
              <w:numPr>
                <w:ilvl w:val="0"/>
                <w:numId w:val="5"/>
              </w:numPr>
              <w:pBdr>
                <w:top w:val="nil"/>
                <w:left w:val="nil"/>
                <w:bottom w:val="nil"/>
                <w:right w:val="nil"/>
                <w:between w:val="nil"/>
              </w:pBdr>
              <w:tabs>
                <w:tab w:val="left" w:pos="411"/>
              </w:tabs>
              <w:spacing w:after="120"/>
              <w:jc w:val="both"/>
              <w:rPr>
                <w:color w:val="000000"/>
              </w:rPr>
            </w:pPr>
            <w:r>
              <w:rPr>
                <w:rFonts w:ascii="Arial" w:eastAsia="Arial" w:hAnsi="Arial" w:cs="Arial"/>
                <w:color w:val="000000"/>
                <w:sz w:val="24"/>
                <w:szCs w:val="24"/>
              </w:rPr>
              <w:tab/>
              <w:t>but excluding:</w:t>
            </w:r>
          </w:p>
          <w:p w:rsidR="002C2FCE" w:rsidRDefault="0096243A">
            <w:pPr>
              <w:numPr>
                <w:ilvl w:val="1"/>
                <w:numId w:val="5"/>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Overhead;</w:t>
            </w:r>
          </w:p>
          <w:p w:rsidR="002C2FCE" w:rsidRDefault="0096243A">
            <w:pPr>
              <w:numPr>
                <w:ilvl w:val="1"/>
                <w:numId w:val="5"/>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financing or similar costs;</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taxation;</w:t>
            </w:r>
          </w:p>
          <w:p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fines and penalties;</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amounts payable under Call-Off Schedule 16 (Benchmarking) where such Schedule is used; and</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non-cash items (including depreciation, amortisation, impairments and movements in provisions);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"CRTPA"</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 Rights of Third Parties Act 1999;</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Loss Event”</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event that results, or may result, in unauthorised access to Personal Data held by the Processor under this Contract, and/or actual or potential loss and/or destruction of Personal Data in breach of this Contract, including any Personal Data Breach;</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"Data Protection Legislation"</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 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 assessment by the Controller of the impact of the envisaged processing on the protection of Personal Data;</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"Deductions"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Paragraph 8.1.1 of Framework Schedule 5 (Management Charges and Information);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"Deliverables"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Goods and/or Services that may be ordered under the Contract including the Documentation;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"Delivery"</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"Disaster"</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Pr>
                <w:rFonts w:ascii="Arial" w:eastAsia="Arial" w:hAnsi="Arial" w:cs="Arial"/>
                <w:b/>
                <w:color w:val="000000"/>
                <w:sz w:val="24"/>
                <w:szCs w:val="24"/>
              </w:rPr>
              <w:t>"Disaster Period</w:t>
            </w:r>
            <w:r>
              <w:rPr>
                <w:rFonts w:ascii="Arial" w:eastAsia="Arial" w:hAnsi="Arial" w:cs="Arial"/>
                <w:color w:val="000000"/>
                <w:sz w:val="24"/>
                <w:szCs w:val="24"/>
              </w:rPr>
              <w:t xml:space="preserve">");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"Disclosing Party"</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"Dispute"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dispute resolution procedure set out in Clause 34 (Resolving disputes);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566" w:type="dxa"/>
          </w:tcPr>
          <w:p w:rsidR="002C2FCE" w:rsidRDefault="0096243A">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is required by the Supplier in order to provide the Deliverables; and/or</w:t>
            </w:r>
          </w:p>
          <w:p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has been or shall be generated for the purpose of providing the Deliverables;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"DOTAS"</w:t>
            </w:r>
          </w:p>
        </w:tc>
        <w:tc>
          <w:tcPr>
            <w:tcW w:w="7566" w:type="dxa"/>
          </w:tcPr>
          <w:p w:rsidR="002C2FCE" w:rsidRDefault="0096243A">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“DPA 2018”</w:t>
            </w:r>
          </w:p>
        </w:tc>
        <w:tc>
          <w:tcPr>
            <w:tcW w:w="7566" w:type="dxa"/>
          </w:tcPr>
          <w:p w:rsidR="002C2FCE" w:rsidRDefault="0096243A">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566" w:type="dxa"/>
          </w:tcPr>
          <w:p w:rsidR="002C2FCE" w:rsidRDefault="0096243A">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on which the final Party has signed the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"EIR"</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Environmental Information Regulations 2004;</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566" w:type="dxa"/>
          </w:tcPr>
          <w:p w:rsidR="002C2FCE" w:rsidRDefault="0096243A">
            <w:pPr>
              <w:pBdr>
                <w:top w:val="nil"/>
                <w:left w:val="nil"/>
                <w:bottom w:val="nil"/>
                <w:right w:val="nil"/>
                <w:between w:val="nil"/>
              </w:pBdr>
              <w:tabs>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2C2FCE" w:rsidRDefault="0096243A">
            <w:pPr>
              <w:numPr>
                <w:ilvl w:val="1"/>
                <w:numId w:val="5"/>
              </w:numPr>
              <w:pBdr>
                <w:top w:val="nil"/>
                <w:left w:val="nil"/>
                <w:bottom w:val="nil"/>
                <w:right w:val="nil"/>
                <w:between w:val="nil"/>
              </w:pBdr>
              <w:tabs>
                <w:tab w:val="left" w:pos="144"/>
              </w:tabs>
              <w:spacing w:after="120"/>
              <w:ind w:hanging="291"/>
              <w:jc w:val="both"/>
              <w:rPr>
                <w:sz w:val="24"/>
                <w:szCs w:val="24"/>
              </w:rPr>
            </w:pPr>
            <w:r>
              <w:rPr>
                <w:rFonts w:ascii="Arial" w:eastAsia="Arial" w:hAnsi="Arial" w:cs="Arial"/>
                <w:color w:val="000000"/>
                <w:sz w:val="24"/>
                <w:szCs w:val="24"/>
              </w:rPr>
              <w:lastRenderedPageBreak/>
              <w:t>the Expiry Date (as extended by any Extension Period exercised by the Authority under Clause 10.2); or</w:t>
            </w:r>
          </w:p>
          <w:p w:rsidR="002C2FCE" w:rsidRDefault="0096243A">
            <w:pPr>
              <w:numPr>
                <w:ilvl w:val="1"/>
                <w:numId w:val="5"/>
              </w:numPr>
              <w:pBdr>
                <w:top w:val="nil"/>
                <w:left w:val="nil"/>
                <w:bottom w:val="nil"/>
                <w:right w:val="nil"/>
                <w:between w:val="nil"/>
              </w:pBdr>
              <w:tabs>
                <w:tab w:val="left" w:pos="144"/>
              </w:tabs>
              <w:spacing w:after="120"/>
              <w:ind w:hanging="291"/>
              <w:jc w:val="both"/>
              <w:rPr>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7566" w:type="dxa"/>
          </w:tcPr>
          <w:p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C2FCE">
        <w:tc>
          <w:tcPr>
            <w:tcW w:w="2181" w:type="dxa"/>
          </w:tcPr>
          <w:p w:rsidR="002C2FCE" w:rsidRDefault="0096243A">
            <w:pPr>
              <w:pBdr>
                <w:top w:val="nil"/>
                <w:left w:val="nil"/>
                <w:bottom w:val="nil"/>
                <w:right w:val="nil"/>
                <w:between w:val="nil"/>
              </w:pBdr>
              <w:spacing w:after="120" w:line="48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566" w:type="dxa"/>
          </w:tcPr>
          <w:p w:rsidR="002C2FCE" w:rsidRDefault="0096243A">
            <w:pPr>
              <w:numPr>
                <w:ilvl w:val="0"/>
                <w:numId w:val="5"/>
              </w:numPr>
              <w:pBdr>
                <w:top w:val="nil"/>
                <w:left w:val="nil"/>
                <w:bottom w:val="nil"/>
                <w:right w:val="nil"/>
                <w:between w:val="nil"/>
              </w:pBdr>
              <w:tabs>
                <w:tab w:val="left" w:pos="-179"/>
              </w:tabs>
              <w:spacing w:after="120"/>
              <w:jc w:val="both"/>
              <w:rPr>
                <w:color w:val="000000"/>
              </w:rPr>
            </w:pPr>
            <w:r>
              <w:rPr>
                <w:rFonts w:ascii="Arial" w:eastAsia="Arial" w:hAnsi="Arial" w:cs="Arial"/>
                <w:color w:val="000000"/>
                <w:sz w:val="24"/>
                <w:szCs w:val="24"/>
              </w:rPr>
              <w:t>the anticipated total Charges payable by the Buyer in the first Contract Year specified in the Order Form;</w:t>
            </w:r>
          </w:p>
          <w:p w:rsidR="002C2FCE" w:rsidRDefault="002C2FCE">
            <w:pPr>
              <w:numPr>
                <w:ilvl w:val="0"/>
                <w:numId w:val="5"/>
              </w:numPr>
              <w:pBdr>
                <w:top w:val="nil"/>
                <w:left w:val="nil"/>
                <w:bottom w:val="nil"/>
                <w:right w:val="nil"/>
                <w:between w:val="nil"/>
              </w:pBdr>
              <w:tabs>
                <w:tab w:val="left" w:pos="-9"/>
              </w:tabs>
              <w:spacing w:after="120"/>
              <w:jc w:val="both"/>
              <w:rPr>
                <w:color w:val="000000"/>
              </w:rPr>
            </w:pPr>
          </w:p>
        </w:tc>
      </w:tr>
    </w:tbl>
    <w:p w:rsidR="002C2FCE" w:rsidRDefault="002C2FCE">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Layout w:type="fixed"/>
        <w:tblLook w:val="0400" w:firstRow="0" w:lastRow="0" w:firstColumn="0" w:lastColumn="0" w:noHBand="0" w:noVBand="1"/>
      </w:tblPr>
      <w:tblGrid>
        <w:gridCol w:w="2182"/>
        <w:gridCol w:w="7568"/>
      </w:tblGrid>
      <w:tr w:rsidR="002C2FCE">
        <w:tc>
          <w:tcPr>
            <w:tcW w:w="21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C2FCE" w:rsidRDefault="0096243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568" w:type="dxa"/>
            <w:tcBorders>
              <w:top w:val="nil"/>
              <w:left w:val="nil"/>
              <w:bottom w:val="single" w:sz="8" w:space="0" w:color="000000"/>
              <w:right w:val="single" w:sz="8" w:space="0" w:color="000000"/>
            </w:tcBorders>
            <w:tcMar>
              <w:top w:w="0" w:type="dxa"/>
              <w:left w:w="108" w:type="dxa"/>
              <w:bottom w:w="0" w:type="dxa"/>
              <w:right w:w="108" w:type="dxa"/>
            </w:tcMar>
          </w:tcPr>
          <w:p w:rsidR="002C2FCE" w:rsidRDefault="0096243A">
            <w:pPr>
              <w:numPr>
                <w:ilvl w:val="0"/>
                <w:numId w:val="4"/>
              </w:numPr>
              <w:pBdr>
                <w:top w:val="nil"/>
                <w:left w:val="nil"/>
                <w:bottom w:val="nil"/>
                <w:right w:val="nil"/>
                <w:between w:val="nil"/>
              </w:pBdr>
              <w:tabs>
                <w:tab w:val="left" w:pos="-179"/>
              </w:tabs>
              <w:spacing w:after="120" w:line="240" w:lineRule="auto"/>
              <w:jc w:val="both"/>
              <w:rPr>
                <w:color w:val="000000"/>
              </w:rPr>
            </w:pPr>
            <w:r>
              <w:rPr>
                <w:rFonts w:ascii="Arial" w:eastAsia="Arial" w:hAnsi="Arial" w:cs="Arial"/>
                <w:color w:val="000000"/>
                <w:sz w:val="24"/>
                <w:szCs w:val="24"/>
              </w:rPr>
              <w:t>means for the purposes of calculating each Party’s annual liability under clause 11.2 :</w:t>
            </w:r>
          </w:p>
          <w:p w:rsidR="002C2FCE" w:rsidRDefault="0096243A">
            <w:pPr>
              <w:numPr>
                <w:ilvl w:val="0"/>
                <w:numId w:val="4"/>
              </w:numPr>
              <w:pBdr>
                <w:top w:val="nil"/>
                <w:left w:val="nil"/>
                <w:bottom w:val="nil"/>
                <w:right w:val="nil"/>
                <w:between w:val="nil"/>
              </w:pBdr>
              <w:tabs>
                <w:tab w:val="left" w:pos="-179"/>
              </w:tabs>
              <w:spacing w:after="120" w:line="240" w:lineRule="auto"/>
              <w:jc w:val="both"/>
              <w:rPr>
                <w:color w:val="000000"/>
              </w:rPr>
            </w:pPr>
            <w:r>
              <w:rPr>
                <w:rFonts w:ascii="Arial" w:eastAsia="Arial" w:hAnsi="Arial" w:cs="Arial"/>
                <w:color w:val="000000"/>
                <w:sz w:val="24"/>
                <w:szCs w:val="24"/>
              </w:rPr>
              <w:t xml:space="preserve">i)  in the first Contract Year, the Estimated Year 1 Charges; or </w:t>
            </w:r>
          </w:p>
          <w:p w:rsidR="002C2FCE" w:rsidRDefault="002C2FCE">
            <w:pPr>
              <w:numPr>
                <w:ilvl w:val="0"/>
                <w:numId w:val="4"/>
              </w:numPr>
              <w:pBdr>
                <w:top w:val="nil"/>
                <w:left w:val="nil"/>
                <w:bottom w:val="nil"/>
                <w:right w:val="nil"/>
                <w:between w:val="nil"/>
              </w:pBdr>
              <w:tabs>
                <w:tab w:val="left" w:pos="-179"/>
              </w:tabs>
              <w:spacing w:after="120" w:line="240" w:lineRule="auto"/>
              <w:jc w:val="both"/>
              <w:rPr>
                <w:color w:val="000000"/>
              </w:rPr>
            </w:pPr>
          </w:p>
          <w:p w:rsidR="002C2FCE" w:rsidRDefault="0096243A">
            <w:pPr>
              <w:numPr>
                <w:ilvl w:val="0"/>
                <w:numId w:val="4"/>
              </w:numPr>
              <w:pBdr>
                <w:top w:val="nil"/>
                <w:left w:val="nil"/>
                <w:bottom w:val="nil"/>
                <w:right w:val="nil"/>
                <w:between w:val="nil"/>
              </w:pBdr>
              <w:tabs>
                <w:tab w:val="left" w:pos="-179"/>
              </w:tabs>
              <w:spacing w:after="120" w:line="240" w:lineRule="auto"/>
              <w:jc w:val="both"/>
              <w:rPr>
                <w:color w:val="000000"/>
              </w:rPr>
            </w:pPr>
            <w:r>
              <w:rPr>
                <w:rFonts w:ascii="Arial" w:eastAsia="Arial" w:hAnsi="Arial" w:cs="Arial"/>
                <w:color w:val="000000"/>
                <w:sz w:val="24"/>
                <w:szCs w:val="24"/>
              </w:rPr>
              <w:t>ii) in the any subsequent Contract Years, the Charges paid or payable in the previous Call-off Contract Year; or</w:t>
            </w:r>
          </w:p>
          <w:p w:rsidR="002C2FCE" w:rsidRDefault="002C2FCE">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2C2FCE" w:rsidRDefault="0096243A">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iii) after the end of the Call-off Contract, the Charges paid or payable in the last Contract Year during the Call-off Contract Period; </w:t>
            </w:r>
          </w:p>
          <w:p w:rsidR="002C2FCE" w:rsidRDefault="002C2FCE">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2C2FCE" w:rsidRDefault="0096243A">
            <w:pPr>
              <w:numPr>
                <w:ilvl w:val="0"/>
                <w:numId w:val="4"/>
              </w:numPr>
              <w:pBdr>
                <w:top w:val="nil"/>
                <w:left w:val="nil"/>
                <w:bottom w:val="nil"/>
                <w:right w:val="nil"/>
                <w:between w:val="nil"/>
              </w:pBdr>
              <w:tabs>
                <w:tab w:val="left" w:pos="-179"/>
              </w:tabs>
              <w:spacing w:after="120" w:line="240" w:lineRule="auto"/>
              <w:jc w:val="both"/>
              <w:rPr>
                <w:color w:val="000000"/>
              </w:rPr>
            </w:pPr>
            <w:r>
              <w:rPr>
                <w:rFonts w:ascii="Arial" w:eastAsia="Arial" w:hAnsi="Arial" w:cs="Arial"/>
                <w:color w:val="000000"/>
                <w:sz w:val="24"/>
                <w:szCs w:val="24"/>
              </w:rPr>
              <w:t> </w:t>
            </w:r>
          </w:p>
        </w:tc>
      </w:tr>
    </w:tbl>
    <w:p w:rsidR="002C2FCE" w:rsidRDefault="002C2FCE">
      <w:pPr>
        <w:widowControl w:val="0"/>
        <w:pBdr>
          <w:top w:val="nil"/>
          <w:left w:val="nil"/>
          <w:bottom w:val="nil"/>
          <w:right w:val="nil"/>
          <w:between w:val="nil"/>
        </w:pBdr>
        <w:spacing w:after="0"/>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UK Government body named as such as may be renamed or replaced by an equivalent body from time to time;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6" w:type="dxa"/>
          </w:tcPr>
          <w:p w:rsidR="002C2FCE" w:rsidRDefault="0096243A">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Framework Optional Extension Period or the Call-Off Optional Extension Period as the context dictates;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"FOIA"</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riots, civil commotion, war or armed conflict, acts of terrorism, nuclear, biological or chemical warfare;</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acts of a Crown Body, local government or regulatory bodies;</w:t>
            </w:r>
          </w:p>
          <w:p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fire, flood or any disaster; 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any failure of delay caused by a lack of funds;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period from the Framework Start Date until the End Date or earlier termination of the Framework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the end of the Framework Contract as stated in the Framework Award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contractual terms applicable to the Framework Contract specified in the Framework Award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Initial Period"</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initial term of the Framework Contract as specified in the Framework Award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"Framework Optional </w:t>
            </w:r>
            <w:r>
              <w:rPr>
                <w:rFonts w:ascii="Arial" w:eastAsia="Arial" w:hAnsi="Arial" w:cs="Arial"/>
                <w:b/>
                <w:color w:val="000000"/>
                <w:sz w:val="24"/>
                <w:szCs w:val="24"/>
              </w:rPr>
              <w:lastRenderedPageBreak/>
              <w:t>Extension Period"</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lastRenderedPageBreak/>
              <w:t>such period or periods beyond which the Framework Initial Period may be extended up to a maximum of the number of years in total specified in the Framework Award Form;</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price(s) applicable to the provision of the Deliverables set out in Framework Schedule 3 (Framework Prices);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additional terms and conditions specified in the Framework Award Form incorporated into the Framework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start of the Framework Contract as stated in the Framework Award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tender submitted by the Supplier to CCS and annexed to or referred to in Framework Schedule 2 (Framework Tender Response);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further competition procedure described in Framework Schedule 7 (Call-Off Procedure and Award Criteria);</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"GDPR"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General Data Protection Regulation (Regulation (EU) 2016/679);</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6" w:type="dxa"/>
          </w:tcPr>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the legislation in Part 5 of the Finance Act 2013 and; and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6" w:type="dxa"/>
          </w:tcPr>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are supplied to the Supplier by or on behalf of the Authority; or</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lastRenderedPageBreak/>
              <w:t>the Supplier is required to generate, process, store or transmit pursuant to a Contract; 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Personal Data for which the Authority is the Data Controller;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"Guarantor"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principle explained in the CJEU Case C-255/02 Halifax and others;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"HMRC"</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Her Majesty’s Revenue and Customs;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"ICT Policy"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 assessment of the impact of a Variation request by the Relevant Authority completed in good faith, including:</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details of the cost of implementing the proposed Variation;</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 timetable for the implementation, together with any proposals for the testing of the Variation; and</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Party from whom an indemnity is sought under this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"Indexation"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adjustment of an amount or sum in accordance with Framework Schedule 3 (Framework Prices) and the relevant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under section 84 of the Freedom of Information Act 2000;</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initial term of a Contract specified in the Framework Award Form or the Order Form, as the context requires;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6" w:type="dxa"/>
          </w:tcPr>
          <w:p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in respect of a person:</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 proposal is made for a voluntary arrangement within Part I of the Insolvency Act 1986 or of any other composition scheme or arrangement with, or assignment for the benefit of, its creditors; or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 receiver, administrative receiver or similar officer is appointed over the whole or any part of its business or assets; or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an application is made either for the appointment of an administrator or for an administration order, an administrator is appointed, or notice of intention to appoint an administrator is given; or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it is or becomes insolvent within the meaning of section 123 of the Insolvency Act 1986; or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being a "small company" within the meaning of section 382(3) of the Companies Act 2006, a moratorium comes into force pursuant to Schedule A1 of the Insolvency Act 1986; or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where the person is an individual or partnership, any event analogous to those listed in limbs (a) to (g) (inclusive) occurs in relation to that individual or partnership; or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event analogous to those listed in limbs (a) to (h) (inclusive) occurs under the law of any other jurisdiction;</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6" w:type="dxa"/>
          </w:tcPr>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all other rights having equivalent or similar effect in any country or jurisdiction;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address to which the Supplier shall Invoice the Buyer as specified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"IPR Claim"</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"IR35"</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7">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where two or more Controllers jointly determine the purposes and means of processing;</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Personnel"</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individuals (if any) identified as such in the Order Form;</w:t>
            </w:r>
          </w:p>
        </w:tc>
      </w:tr>
      <w:tr w:rsidR="002C2FCE">
        <w:trPr>
          <w:trHeight w:val="340"/>
        </w:trPr>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each Sub-Contract with a Key Subcontractor;</w:t>
            </w:r>
          </w:p>
        </w:tc>
      </w:tr>
      <w:tr w:rsidR="002C2FCE">
        <w:trPr>
          <w:trHeight w:val="420"/>
        </w:trPr>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Subcontractor: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which is relied upon to deliver any work package within the Deliverables in their entirety; and/or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2C2FCE" w:rsidRDefault="0096243A">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lastRenderedPageBreak/>
              <w:t>and the Supplier shall list all such Key Subcontractors in section 19 of the Framework Award Form and in the Key Subcontractor Section in Order Form;</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"Law"</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“LED”</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Law Enforcement Directive (Directive (EU) 2016/680);</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"Losses"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"Lots"</w:t>
            </w:r>
          </w:p>
        </w:tc>
        <w:tc>
          <w:tcPr>
            <w:tcW w:w="7566" w:type="dxa"/>
          </w:tcPr>
          <w:p w:rsidR="002C2FCE" w:rsidRDefault="0096243A">
            <w:pPr>
              <w:pBdr>
                <w:top w:val="nil"/>
                <w:left w:val="nil"/>
                <w:bottom w:val="nil"/>
                <w:right w:val="nil"/>
                <w:between w:val="nil"/>
              </w:pBdr>
              <w:tabs>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Day"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7.5 Man Hours, whether or not such hours are worked consecutively and whether or not they are worked on the same day;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Hours"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management information specified in Framework Schedule 5 (Management Charges and Information);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shall be the person identified in the Framework Award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Default”</w:t>
            </w:r>
          </w:p>
        </w:tc>
        <w:tc>
          <w:tcPr>
            <w:tcW w:w="7566" w:type="dxa"/>
          </w:tcPr>
          <w:p w:rsidR="002C2FCE" w:rsidRDefault="0096243A">
            <w:pPr>
              <w:numPr>
                <w:ilvl w:val="0"/>
                <w:numId w:val="4"/>
              </w:numPr>
              <w:pBdr>
                <w:top w:val="nil"/>
                <w:left w:val="nil"/>
                <w:bottom w:val="nil"/>
                <w:right w:val="nil"/>
                <w:between w:val="nil"/>
              </w:pBdr>
              <w:tabs>
                <w:tab w:val="left" w:pos="175"/>
              </w:tabs>
              <w:spacing w:after="120"/>
              <w:jc w:val="both"/>
              <w:rPr>
                <w:color w:val="000000"/>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Failure"</w:t>
            </w:r>
          </w:p>
        </w:tc>
        <w:tc>
          <w:tcPr>
            <w:tcW w:w="7566" w:type="dxa"/>
          </w:tcPr>
          <w:p w:rsidR="002C2FCE" w:rsidRDefault="0096243A">
            <w:pPr>
              <w:numPr>
                <w:ilvl w:val="0"/>
                <w:numId w:val="4"/>
              </w:numPr>
              <w:pBdr>
                <w:top w:val="nil"/>
                <w:left w:val="nil"/>
                <w:bottom w:val="nil"/>
                <w:right w:val="nil"/>
                <w:between w:val="nil"/>
              </w:pBdr>
              <w:tabs>
                <w:tab w:val="left" w:pos="175"/>
              </w:tabs>
              <w:spacing w:after="120"/>
              <w:jc w:val="both"/>
              <w:rPr>
                <w:color w:val="000000"/>
              </w:rPr>
            </w:pPr>
            <w:r>
              <w:rPr>
                <w:rFonts w:ascii="Arial" w:eastAsia="Arial" w:hAnsi="Arial" w:cs="Arial"/>
                <w:color w:val="000000"/>
                <w:sz w:val="24"/>
                <w:szCs w:val="24"/>
              </w:rPr>
              <w:t>means when an MI report:</w:t>
            </w:r>
          </w:p>
          <w:p w:rsidR="002C2FCE" w:rsidRDefault="0096243A">
            <w:pPr>
              <w:numPr>
                <w:ilvl w:val="1"/>
                <w:numId w:val="4"/>
              </w:numPr>
              <w:pBdr>
                <w:top w:val="nil"/>
                <w:left w:val="nil"/>
                <w:bottom w:val="nil"/>
                <w:right w:val="nil"/>
                <w:between w:val="nil"/>
              </w:pBdr>
              <w:tabs>
                <w:tab w:val="left" w:pos="175"/>
              </w:tabs>
              <w:spacing w:after="120"/>
              <w:ind w:left="720" w:hanging="544"/>
              <w:jc w:val="both"/>
              <w:rPr>
                <w:sz w:val="24"/>
                <w:szCs w:val="24"/>
              </w:rPr>
            </w:pPr>
            <w:r>
              <w:rPr>
                <w:rFonts w:ascii="Arial" w:eastAsia="Arial" w:hAnsi="Arial" w:cs="Arial"/>
                <w:color w:val="000000"/>
                <w:sz w:val="24"/>
                <w:szCs w:val="24"/>
              </w:rPr>
              <w:t xml:space="preserve">contains any material errors or material omissions or a missing mandatory field; or  </w:t>
            </w:r>
          </w:p>
          <w:p w:rsidR="002C2FCE" w:rsidRDefault="0096243A">
            <w:pPr>
              <w:numPr>
                <w:ilvl w:val="1"/>
                <w:numId w:val="4"/>
              </w:numPr>
              <w:pBdr>
                <w:top w:val="nil"/>
                <w:left w:val="nil"/>
                <w:bottom w:val="nil"/>
                <w:right w:val="nil"/>
                <w:between w:val="nil"/>
              </w:pBdr>
              <w:tabs>
                <w:tab w:val="left" w:pos="175"/>
              </w:tabs>
              <w:spacing w:after="120"/>
              <w:ind w:left="720" w:hanging="544"/>
              <w:jc w:val="both"/>
              <w:rPr>
                <w:sz w:val="24"/>
                <w:szCs w:val="24"/>
              </w:rPr>
            </w:pPr>
            <w:r>
              <w:rPr>
                <w:rFonts w:ascii="Arial" w:eastAsia="Arial" w:hAnsi="Arial" w:cs="Arial"/>
                <w:color w:val="000000"/>
                <w:sz w:val="24"/>
                <w:szCs w:val="24"/>
              </w:rPr>
              <w:t xml:space="preserve">is submitted using an incorrect MI reporting Template; or </w:t>
            </w:r>
          </w:p>
          <w:p w:rsidR="002C2FCE" w:rsidRDefault="0096243A">
            <w:pPr>
              <w:numPr>
                <w:ilvl w:val="1"/>
                <w:numId w:val="4"/>
              </w:numPr>
              <w:pBdr>
                <w:top w:val="nil"/>
                <w:left w:val="nil"/>
                <w:bottom w:val="nil"/>
                <w:right w:val="nil"/>
                <w:between w:val="nil"/>
              </w:pBdr>
              <w:tabs>
                <w:tab w:val="left" w:pos="175"/>
              </w:tabs>
              <w:spacing w:after="120"/>
              <w:ind w:left="720" w:hanging="544"/>
              <w:rPr>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566" w:type="dxa"/>
          </w:tcPr>
          <w:p w:rsidR="002C2FCE" w:rsidRDefault="0096243A">
            <w:pPr>
              <w:numPr>
                <w:ilvl w:val="0"/>
                <w:numId w:val="4"/>
              </w:numPr>
              <w:pBdr>
                <w:top w:val="nil"/>
                <w:left w:val="nil"/>
                <w:bottom w:val="nil"/>
                <w:right w:val="nil"/>
                <w:between w:val="nil"/>
              </w:pBdr>
              <w:tabs>
                <w:tab w:val="left" w:pos="175"/>
              </w:tabs>
              <w:spacing w:after="120"/>
              <w:jc w:val="both"/>
              <w:rPr>
                <w:color w:val="000000"/>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6" w:type="dxa"/>
          </w:tcPr>
          <w:p w:rsidR="002C2FCE" w:rsidRDefault="0096243A">
            <w:pPr>
              <w:numPr>
                <w:ilvl w:val="0"/>
                <w:numId w:val="4"/>
              </w:numPr>
              <w:pBdr>
                <w:top w:val="nil"/>
                <w:left w:val="nil"/>
                <w:bottom w:val="nil"/>
                <w:right w:val="nil"/>
                <w:between w:val="nil"/>
              </w:pBdr>
              <w:tabs>
                <w:tab w:val="left" w:pos="175"/>
              </w:tabs>
              <w:spacing w:after="120"/>
              <w:jc w:val="both"/>
              <w:rPr>
                <w:color w:val="000000"/>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 event or task described in the Implementation Plan;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target date set out against the relevant Milestone in the Implementation Plan by which the Milestone must be Achieved;</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"Month"</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contributions required by the National Insurance Contributions Regulations 2012 (SI 2012/1868) made under section 132A of  the Social Security Administration Act 1992;</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"New IPR"</w:t>
            </w:r>
          </w:p>
        </w:tc>
        <w:tc>
          <w:tcPr>
            <w:tcW w:w="7566" w:type="dxa"/>
          </w:tcPr>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but shall not include the Supplier’s Existing IPR;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where: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complete and accurate financial and non-financial information which is sufficient to enable the Buyer to verify the Charges already paid or payable and Charges forecast to be paid during the </w:t>
            </w:r>
            <w:r>
              <w:rPr>
                <w:rFonts w:ascii="Arial" w:eastAsia="Arial" w:hAnsi="Arial" w:cs="Arial"/>
                <w:color w:val="000000"/>
                <w:sz w:val="24"/>
                <w:szCs w:val="24"/>
              </w:rPr>
              <w:lastRenderedPageBreak/>
              <w:t>remainder of the Call-Off Contract, including details and all assumptions relating to:</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operating expenditure relating to the provision of the Deliverables including an analysis showing:</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the unit costs and quantity of Goods and any other consumables and bought-in Deliverables;</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 list of Costs underpinning those rates for each manpower grade, being the agreed rate less the Supplier Profit Margin; and</w:t>
            </w:r>
          </w:p>
          <w:p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 xml:space="preserve">Reimbursable Expenses, if allowed under the Order Form; </w:t>
            </w:r>
          </w:p>
          <w:p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 xml:space="preserve">Overheads;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Supplier Profit achieved over the Framework Contract Period and on an annual basis;</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actual Costs profile for each Service Period;</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means an order for the provision of the Deliverables placed by a Buyer with the Supplier under a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completed Order Form Template (or equivalent information issued by the Buyer) used to create a Call-Off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template in Framework Schedule 6 (Order Form Template and Call-Off Schedules);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actual or potential Buyer under the Framework Contract;</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"Parliament"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takes its natural meaning as interpreted by Law;</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"Party"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“Personnel”</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“Processing”</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 meeting between the Buyer Authorised Representative and the Supplier Authorised Representative;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report provided by the Supplier indicating the steps taken to achieve Milestones or delivery dates;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frequency at which the Supplier shall deliver Progress Reports in accordance with Clause 6.1 as specified in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“Prohibited Acts”</w:t>
            </w:r>
          </w:p>
        </w:tc>
        <w:tc>
          <w:tcPr>
            <w:tcW w:w="7566" w:type="dxa"/>
          </w:tcPr>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induce that person to perform improperly a relevant function or activity; or</w:t>
            </w:r>
          </w:p>
          <w:p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 xml:space="preserve">reward that person for improper performance of a relevant function or activity;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under the Bribery Act 2010 (or any legislation repealed or revoked by such Act); or</w:t>
            </w:r>
          </w:p>
          <w:p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under legislation or common law concerning fraudulent acts; or</w:t>
            </w:r>
          </w:p>
          <w:p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 xml:space="preserve">defrauding, attempting to defraud or conspiring to defraud a Buyer or other public body; or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if applicable, in the case of the Framework Contract or Call-Off Schedule 9 (Security), if applicable, in the case of a Call-Off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“Recall”</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Party which receives or obtains directly or indirectly Confidential Information;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Supplier’s plan (or revised plan) to rectify it’s breach using the template in Joint Schedule 10 (Rectification Plan Template)which shall include:</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full details of the Default that has occurred, including a root cause analysis; </w:t>
            </w:r>
          </w:p>
          <w:p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the actual or anticipated effect of the Default; and</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lastRenderedPageBreak/>
              <w:t>the steps which the Supplier proposes to take to rectify the Default (if applicable) and to prevent such Default from recurring, including timescales for such steps and for the rectification of the Default (where applicable);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process set out in Clause 10.4.3 to 10.4.5 (Rectification Plan Process);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Public Contracts Regulations 2015 and/or the Public Contracts (Scotland) Regulations 2015 (as the context requires);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Authority which is party to the Contract to which a right or obligation is owed, as the context requires;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6" w:type="dxa"/>
          </w:tcPr>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information derived from any of the above;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HMRC, or, if applicable, the tax authority in the jurisdiction in which the Supplier is established;</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6" w:type="dxa"/>
          </w:tcPr>
          <w:p w:rsidR="002C2FCE" w:rsidRDefault="0096243A">
            <w:pPr>
              <w:numPr>
                <w:ilvl w:val="0"/>
                <w:numId w:val="4"/>
              </w:numPr>
              <w:pBdr>
                <w:top w:val="nil"/>
                <w:left w:val="nil"/>
                <w:bottom w:val="nil"/>
                <w:right w:val="nil"/>
                <w:between w:val="nil"/>
              </w:pBdr>
              <w:tabs>
                <w:tab w:val="left" w:pos="1985"/>
                <w:tab w:val="left" w:pos="2127"/>
              </w:tabs>
              <w:spacing w:after="120"/>
              <w:ind w:left="173" w:hanging="173"/>
              <w:jc w:val="both"/>
              <w:rPr>
                <w:color w:val="000000"/>
              </w:rPr>
            </w:pPr>
            <w:r>
              <w:rPr>
                <w:rFonts w:ascii="Arial" w:eastAsia="Arial" w:hAnsi="Arial" w:cs="Arial"/>
                <w:color w:val="000000"/>
                <w:sz w:val="24"/>
                <w:szCs w:val="24"/>
              </w:rPr>
              <w:t xml:space="preserve">a notice sent in accordance with Clause 10.6 given by the Supplier to the Buyer providing notification that payment has not been received on time;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6" w:type="dxa"/>
          </w:tcPr>
          <w:p w:rsidR="002C2FCE" w:rsidRDefault="0096243A">
            <w:pPr>
              <w:numPr>
                <w:ilvl w:val="0"/>
                <w:numId w:val="4"/>
              </w:numPr>
              <w:pBdr>
                <w:top w:val="nil"/>
                <w:left w:val="nil"/>
                <w:bottom w:val="nil"/>
                <w:right w:val="nil"/>
                <w:between w:val="nil"/>
              </w:pBdr>
              <w:tabs>
                <w:tab w:val="left" w:pos="1985"/>
                <w:tab w:val="left" w:pos="2127"/>
              </w:tabs>
              <w:spacing w:after="120"/>
              <w:ind w:left="173" w:hanging="173"/>
              <w:jc w:val="both"/>
              <w:rPr>
                <w:color w:val="000000"/>
              </w:rPr>
            </w:pPr>
            <w:r>
              <w:rPr>
                <w:rFonts w:ascii="Arial" w:eastAsia="Arial" w:hAnsi="Arial" w:cs="Arial"/>
                <w:color w:val="000000"/>
                <w:sz w:val="24"/>
                <w:szCs w:val="24"/>
              </w:rPr>
              <w:t xml:space="preserve">any deliverables which are substantially similar to any of the Deliverables and which the Buyer receives in substitution for any of the Deliverables following the Call-Off Expiry Date, </w:t>
            </w:r>
            <w:r>
              <w:rPr>
                <w:rFonts w:ascii="Arial" w:eastAsia="Arial" w:hAnsi="Arial" w:cs="Arial"/>
                <w:color w:val="000000"/>
                <w:sz w:val="24"/>
                <w:szCs w:val="24"/>
              </w:rPr>
              <w:lastRenderedPageBreak/>
              <w:t>whether those goods are provided by the Buyer internally and/or by any third party;</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“Schedules"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attachment to a Framework Contract or Call-Off Contract which contains important information specific to each aspect of buying and selling;</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Supplier's security management plan prepared pursuant to Call-Off Schedule 9 (Security) (if applicable);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means the certificate in the form as set out in Framework Schedule 8 (Self Audit Certificate);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UK Government body named as such as may be renamed or replaced by an equivalent body from time to time;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Order Form;</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"Services"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a Service Transfer;</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"Sites"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premises (including the Buyer Premises, the Supplier’s premises or third party premises) from, to or at which:</w:t>
            </w:r>
          </w:p>
          <w:p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the Deliverables are (or are to be) provided; 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Supplier manages, organises or otherwise directs the provision or the use of the Deliverables;</w:t>
            </w:r>
          </w:p>
        </w:tc>
      </w:tr>
      <w:tr w:rsidR="002C2FCE">
        <w:trPr>
          <w:trHeight w:val="940"/>
        </w:trPr>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"SME"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C2FCE">
        <w:trPr>
          <w:trHeight w:val="940"/>
        </w:trPr>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additional Clauses set out in the Framework Award Form or Order Form which shall form part of the respective Contract;</w:t>
            </w:r>
          </w:p>
        </w:tc>
      </w:tr>
      <w:tr w:rsidR="002C2FCE">
        <w:trPr>
          <w:trHeight w:val="940"/>
        </w:trPr>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2C2FCE">
        <w:trPr>
          <w:trHeight w:val="940"/>
        </w:trPr>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"Standards"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standards detailed in the specification in Schedule 1 (Specification);</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standards detailed by the Buyer in the Order Form or agreed between the Parties from time to time;</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relevant Government codes of practice and guidance applicable from time to time;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part of any device that is capable of storing and retrieving data; </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provides the Deliverables (or any part of them);</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provides facilities or services necessary for the provision of the Deliverables (or any part of them); and/or</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person other than the Supplier, who is a party to a Sub-Contract and the servants or agents of that person;</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third Party appointed to process Personal Data on behalf of that Processor related to a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person, firm or company identified in the Framework Award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6" w:type="dxa"/>
          </w:tcPr>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Information derived from any of (a) and (b) above;</w:t>
            </w:r>
          </w:p>
        </w:tc>
      </w:tr>
      <w:tr w:rsidR="002C2FCE">
        <w:tc>
          <w:tcPr>
            <w:tcW w:w="2181" w:type="dxa"/>
          </w:tcPr>
          <w:p w:rsidR="002C2FCE" w:rsidRDefault="0096243A">
            <w:pPr>
              <w:pBdr>
                <w:top w:val="nil"/>
                <w:left w:val="nil"/>
                <w:bottom w:val="nil"/>
                <w:right w:val="nil"/>
                <w:between w:val="nil"/>
              </w:pBdr>
              <w:tabs>
                <w:tab w:val="left" w:pos="1134"/>
              </w:tabs>
              <w:spacing w:before="120" w:after="120"/>
              <w:ind w:left="1134" w:hanging="567"/>
              <w:rPr>
                <w:rFonts w:ascii="Arial" w:eastAsia="Arial" w:hAnsi="Arial" w:cs="Arial"/>
                <w:b/>
                <w:color w:val="000000"/>
                <w:sz w:val="24"/>
                <w:szCs w:val="24"/>
              </w:rPr>
            </w:pPr>
            <w:r>
              <w:rPr>
                <w:rFonts w:ascii="Arial" w:eastAsia="Arial" w:hAnsi="Arial" w:cs="Arial"/>
                <w:b/>
                <w:color w:val="000000"/>
                <w:sz w:val="24"/>
                <w:szCs w:val="24"/>
              </w:rPr>
              <w:t xml:space="preserve">"Supplier's Contract </w:t>
            </w:r>
            <w:r>
              <w:rPr>
                <w:rFonts w:ascii="Arial" w:eastAsia="Arial" w:hAnsi="Arial" w:cs="Arial"/>
                <w:b/>
                <w:color w:val="000000"/>
                <w:sz w:val="24"/>
                <w:szCs w:val="24"/>
              </w:rPr>
              <w:lastRenderedPageBreak/>
              <w:t xml:space="preserve">Manager </w:t>
            </w:r>
          </w:p>
        </w:tc>
        <w:tc>
          <w:tcPr>
            <w:tcW w:w="7566" w:type="dxa"/>
          </w:tcPr>
          <w:p w:rsidR="002C2FCE" w:rsidRDefault="0096243A">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lastRenderedPageBreak/>
              <w:t xml:space="preserve">the person identified in the Order Form appointed by the Supplier to oversee the operation of the Call-Off Contract and any alternative person whom the Supplier intends to appoint to </w:t>
            </w:r>
            <w:r>
              <w:rPr>
                <w:rFonts w:ascii="Arial" w:eastAsia="Arial" w:hAnsi="Arial" w:cs="Arial"/>
                <w:color w:val="000000"/>
                <w:sz w:val="24"/>
                <w:szCs w:val="24"/>
              </w:rPr>
              <w:lastRenderedPageBreak/>
              <w:t>the role, provided that the Supplier informs the Buyer prior to the appointment;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where the Supplier has failed to:</w:t>
            </w:r>
          </w:p>
          <w:p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Achieve a Milestone by its Milestone Date;</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provide the Goods and/or Services in accordance with the Service Levels ; and/or</w:t>
            </w:r>
          </w:p>
          <w:p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comply with an obligation under a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document at Annex 1 of Schedule 12  Supply Chain Visibility;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Issue"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variance or non-conformity of the Deliverables or Deliverables from their requirements as set out in a Call-Off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Plan"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plan:</w:t>
            </w:r>
          </w:p>
          <w:p w:rsidR="002C2FCE" w:rsidRDefault="0096243A">
            <w:pPr>
              <w:numPr>
                <w:ilvl w:val="1"/>
                <w:numId w:val="4"/>
              </w:numPr>
              <w:pBdr>
                <w:top w:val="nil"/>
                <w:left w:val="nil"/>
                <w:bottom w:val="nil"/>
                <w:right w:val="nil"/>
                <w:between w:val="nil"/>
              </w:pBdr>
              <w:tabs>
                <w:tab w:val="left" w:pos="141"/>
              </w:tabs>
              <w:spacing w:after="120"/>
              <w:ind w:left="576" w:hanging="432"/>
              <w:jc w:val="both"/>
              <w:rPr>
                <w:sz w:val="24"/>
                <w:szCs w:val="24"/>
              </w:rPr>
            </w:pPr>
            <w:r>
              <w:rPr>
                <w:rFonts w:ascii="Arial" w:eastAsia="Arial" w:hAnsi="Arial" w:cs="Arial"/>
                <w:color w:val="000000"/>
                <w:sz w:val="24"/>
                <w:szCs w:val="24"/>
              </w:rPr>
              <w:t xml:space="preserve">for the Testing of the Deliverables; and </w:t>
            </w:r>
          </w:p>
          <w:p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setting out other agreed criteria related to the achievement of Milestones;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"Tests and Testing"</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2C2FCE">
        <w:tc>
          <w:tcPr>
            <w:tcW w:w="2181" w:type="dxa"/>
          </w:tcPr>
          <w:p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6" w:type="dxa"/>
          </w:tcPr>
          <w:p w:rsidR="002C2FCE" w:rsidRDefault="0096243A">
            <w:pPr>
              <w:keepNext/>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2C2FCE" w:rsidRDefault="0096243A">
            <w:pPr>
              <w:keepNext/>
              <w:pBdr>
                <w:top w:val="nil"/>
                <w:left w:val="nil"/>
                <w:bottom w:val="nil"/>
                <w:right w:val="nil"/>
                <w:between w:val="nil"/>
              </w:pBdr>
              <w:tabs>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2C2FCE" w:rsidRDefault="0096243A">
            <w:pPr>
              <w:keepNext/>
              <w:numPr>
                <w:ilvl w:val="0"/>
                <w:numId w:val="4"/>
              </w:numPr>
              <w:pBdr>
                <w:top w:val="nil"/>
                <w:left w:val="nil"/>
                <w:bottom w:val="nil"/>
                <w:right w:val="nil"/>
                <w:between w:val="nil"/>
              </w:pBdr>
              <w:tabs>
                <w:tab w:val="left" w:pos="-9"/>
              </w:tabs>
              <w:spacing w:after="120"/>
              <w:ind w:left="720"/>
              <w:jc w:val="both"/>
              <w:rPr>
                <w:color w:val="000000"/>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2C2FCE" w:rsidRDefault="002C2FCE">
            <w:pPr>
              <w:keepNext/>
              <w:numPr>
                <w:ilvl w:val="0"/>
                <w:numId w:val="4"/>
              </w:numPr>
              <w:pBdr>
                <w:top w:val="nil"/>
                <w:left w:val="nil"/>
                <w:bottom w:val="nil"/>
                <w:right w:val="nil"/>
                <w:between w:val="nil"/>
              </w:pBdr>
              <w:tabs>
                <w:tab w:val="left" w:pos="-9"/>
              </w:tabs>
              <w:spacing w:after="120"/>
              <w:jc w:val="both"/>
              <w:rPr>
                <w:color w:val="000000"/>
              </w:rPr>
            </w:pP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"US-EU Privacy Shield Register"</w:t>
            </w:r>
          </w:p>
        </w:tc>
        <w:tc>
          <w:tcPr>
            <w:tcW w:w="7566" w:type="dxa"/>
          </w:tcPr>
          <w:p w:rsidR="002C2FCE" w:rsidRDefault="0096243A">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9">
              <w:r>
                <w:rPr>
                  <w:rFonts w:ascii="Arial" w:eastAsia="Arial" w:hAnsi="Arial" w:cs="Arial"/>
                  <w:color w:val="0000FF"/>
                  <w:sz w:val="24"/>
                  <w:szCs w:val="24"/>
                  <w:u w:val="single"/>
                </w:rPr>
                <w:t>https://www.privacyshield.gov/list</w:t>
              </w:r>
            </w:hyperlink>
            <w:r>
              <w:rPr>
                <w:rFonts w:ascii="Arial" w:eastAsia="Arial" w:hAnsi="Arial" w:cs="Arial"/>
                <w:color w:val="000000"/>
                <w:sz w:val="24"/>
                <w:szCs w:val="24"/>
              </w:rPr>
              <w:t xml:space="preserve">;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Clause 24 (Changing the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form set out in Joint Schedule 2 (Variation Form);</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procedure set out in Clause 24 (Changing the contract);</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"VAT"</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value added tax in accordance with the provisions of the Value Added Tax Act 1994;</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"VCSE"</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"Worker"</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2C2FCE">
        <w:tc>
          <w:tcPr>
            <w:tcW w:w="2181" w:type="dxa"/>
          </w:tcPr>
          <w:p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566" w:type="dxa"/>
          </w:tcPr>
          <w:p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any day other than a Saturday or Sunday or public holiday in England and Wales unless specified otherwise by the Parties in the Order Form. </w:t>
            </w:r>
          </w:p>
        </w:tc>
      </w:tr>
    </w:tbl>
    <w:p w:rsidR="002C2FCE" w:rsidRDefault="002C2FCE">
      <w:pPr>
        <w:spacing w:after="0" w:line="240" w:lineRule="auto"/>
        <w:rPr>
          <w:rFonts w:ascii="Arial" w:eastAsia="Arial" w:hAnsi="Arial" w:cs="Arial"/>
          <w:sz w:val="24"/>
          <w:szCs w:val="24"/>
        </w:rPr>
      </w:pPr>
    </w:p>
    <w:p w:rsidR="002C2FCE" w:rsidRDefault="002C2FCE">
      <w:pPr>
        <w:spacing w:after="0" w:line="240" w:lineRule="auto"/>
        <w:rPr>
          <w:rFonts w:ascii="Arial" w:eastAsia="Arial" w:hAnsi="Arial" w:cs="Arial"/>
          <w:sz w:val="24"/>
          <w:szCs w:val="24"/>
        </w:rPr>
      </w:pPr>
    </w:p>
    <w:p w:rsidR="002C2FCE" w:rsidRDefault="0096243A">
      <w:pPr>
        <w:widowControl w:val="0"/>
        <w:pBdr>
          <w:top w:val="nil"/>
          <w:left w:val="nil"/>
          <w:bottom w:val="nil"/>
          <w:right w:val="nil"/>
          <w:between w:val="nil"/>
        </w:pBdr>
        <w:spacing w:after="0"/>
        <w:rPr>
          <w:rFonts w:ascii="Arial" w:eastAsia="Arial" w:hAnsi="Arial" w:cs="Arial"/>
          <w:sz w:val="24"/>
          <w:szCs w:val="24"/>
        </w:rPr>
        <w:sectPr w:rsidR="002C2FCE">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pPr>
      <w:r>
        <w:br w:type="page"/>
      </w:r>
    </w:p>
    <w:p w:rsidR="002C2FCE" w:rsidRDefault="002C2FCE">
      <w:pPr>
        <w:spacing w:after="0" w:line="240" w:lineRule="auto"/>
        <w:rPr>
          <w:rFonts w:ascii="Arial" w:eastAsia="Arial" w:hAnsi="Arial" w:cs="Arial"/>
          <w:sz w:val="24"/>
          <w:szCs w:val="24"/>
        </w:rPr>
      </w:pPr>
    </w:p>
    <w:sectPr w:rsidR="002C2FCE">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3CC" w:rsidRDefault="009733CC">
      <w:pPr>
        <w:spacing w:after="0" w:line="240" w:lineRule="auto"/>
      </w:pPr>
      <w:r>
        <w:separator/>
      </w:r>
    </w:p>
  </w:endnote>
  <w:endnote w:type="continuationSeparator" w:id="0">
    <w:p w:rsidR="009733CC" w:rsidRDefault="00973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FCE" w:rsidRDefault="0096243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F36A56">
      <w:rPr>
        <w:rFonts w:ascii="Arial" w:eastAsia="Arial" w:hAnsi="Arial" w:cs="Arial"/>
        <w:sz w:val="20"/>
        <w:szCs w:val="20"/>
      </w:rPr>
      <w:t>6013 Public Sector Vehicle Hire Solutions</w:t>
    </w:r>
    <w:r>
      <w:rPr>
        <w:rFonts w:ascii="Arial" w:eastAsia="Arial" w:hAnsi="Arial" w:cs="Arial"/>
        <w:sz w:val="20"/>
        <w:szCs w:val="20"/>
      </w:rPr>
      <w:tab/>
      <w:t xml:space="preserve">                                           </w:t>
    </w:r>
  </w:p>
  <w:p w:rsidR="002C2FCE" w:rsidRDefault="0096243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A460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C2FCE" w:rsidRDefault="009624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FCE" w:rsidRDefault="0096243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2C2FCE" w:rsidRDefault="0096243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2C2FCE" w:rsidRDefault="009624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3CC" w:rsidRDefault="009733CC">
      <w:pPr>
        <w:spacing w:after="0" w:line="240" w:lineRule="auto"/>
      </w:pPr>
      <w:r>
        <w:separator/>
      </w:r>
    </w:p>
  </w:footnote>
  <w:footnote w:type="continuationSeparator" w:id="0">
    <w:p w:rsidR="009733CC" w:rsidRDefault="009733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FCE" w:rsidRDefault="0096243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2C2FCE" w:rsidRDefault="0096243A">
    <w:pPr>
      <w:pBdr>
        <w:top w:val="nil"/>
        <w:left w:val="nil"/>
        <w:bottom w:val="nil"/>
        <w:right w:val="nil"/>
        <w:between w:val="nil"/>
      </w:pBdr>
      <w:tabs>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 xml:space="preserve">Crown </w:t>
    </w:r>
    <w:r w:rsidR="001A4608">
      <w:rPr>
        <w:rFonts w:ascii="Arial" w:eastAsia="Arial" w:hAnsi="Arial" w:cs="Arial"/>
        <w:color w:val="000000"/>
        <w:sz w:val="20"/>
        <w:szCs w:val="20"/>
      </w:rPr>
      <w:t>Copyright 2019</w:t>
    </w:r>
    <w:r>
      <w:rPr>
        <w:rFonts w:ascii="Arial" w:eastAsia="Arial" w:hAnsi="Arial" w:cs="Arial"/>
        <w:color w:val="BFBFBF"/>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FCE" w:rsidRDefault="0096243A">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2C2FCE" w:rsidRDefault="0096243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286393"/>
    <w:multiLevelType w:val="multilevel"/>
    <w:tmpl w:val="AFD87548"/>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BD10041"/>
    <w:multiLevelType w:val="multilevel"/>
    <w:tmpl w:val="E56C093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537038A7"/>
    <w:multiLevelType w:val="multilevel"/>
    <w:tmpl w:val="4DAA07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0F7D26"/>
    <w:multiLevelType w:val="multilevel"/>
    <w:tmpl w:val="C082EF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54653BD"/>
    <w:multiLevelType w:val="multilevel"/>
    <w:tmpl w:val="7FF2D09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FCE"/>
    <w:rsid w:val="001A4608"/>
    <w:rsid w:val="002C2FCE"/>
    <w:rsid w:val="0096243A"/>
    <w:rsid w:val="009733CC"/>
    <w:rsid w:val="00F36A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502E83-D34E-459C-9174-F600170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paragraph" w:styleId="Header">
    <w:name w:val="header"/>
    <w:basedOn w:val="Normal"/>
    <w:link w:val="HeaderChar"/>
    <w:uiPriority w:val="99"/>
    <w:unhideWhenUsed/>
    <w:rsid w:val="00F36A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6A56"/>
  </w:style>
  <w:style w:type="paragraph" w:styleId="Footer">
    <w:name w:val="footer"/>
    <w:basedOn w:val="Normal"/>
    <w:link w:val="FooterChar"/>
    <w:uiPriority w:val="99"/>
    <w:unhideWhenUsed/>
    <w:rsid w:val="00F36A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6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rivacyshield.gov/lis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9041</Words>
  <Characters>51534</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60455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2</cp:revision>
  <dcterms:created xsi:type="dcterms:W3CDTF">2019-04-05T14:47:00Z</dcterms:created>
  <dcterms:modified xsi:type="dcterms:W3CDTF">2019-04-05T14:47:00Z</dcterms:modified>
</cp:coreProperties>
</file>